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MOJ SRETNI BROJ</w:t>
      </w:r>
      <w:r w:rsidR="00F8195A">
        <w:rPr>
          <w:b/>
          <w:sz w:val="24"/>
          <w:szCs w:val="24"/>
        </w:rPr>
        <w:t xml:space="preserve"> 1 – ŠKOLSKA GODINA 2017./2018</w:t>
      </w:r>
      <w:r>
        <w:rPr>
          <w:b/>
          <w:sz w:val="24"/>
          <w:szCs w:val="24"/>
        </w:rPr>
        <w:t>.</w:t>
      </w: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VREMENIK PISANIH VREDNOVANJA IZ MATEMATIKE</w:t>
      </w:r>
      <w:r w:rsidR="00F8195A">
        <w:rPr>
          <w:b/>
          <w:sz w:val="24"/>
          <w:szCs w:val="24"/>
        </w:rPr>
        <w:t xml:space="preserve"> U DRUGOM</w:t>
      </w:r>
      <w:r>
        <w:rPr>
          <w:b/>
          <w:sz w:val="24"/>
          <w:szCs w:val="24"/>
        </w:rPr>
        <w:t xml:space="preserve"> RAZREDU</w:t>
      </w: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  <w:bookmarkStart w:id="0" w:name="_GoBack"/>
      <w:bookmarkEnd w:id="0"/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125"/>
        <w:gridCol w:w="1490"/>
        <w:gridCol w:w="2249"/>
        <w:gridCol w:w="2480"/>
        <w:gridCol w:w="936"/>
        <w:gridCol w:w="757"/>
        <w:gridCol w:w="762"/>
        <w:gridCol w:w="990"/>
        <w:gridCol w:w="1749"/>
      </w:tblGrid>
      <w:tr w:rsidR="00A02EF7" w:rsidRPr="00161097" w:rsidTr="00211A47">
        <w:trPr>
          <w:trHeight w:val="405"/>
        </w:trPr>
        <w:tc>
          <w:tcPr>
            <w:tcW w:w="24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rujan</w:t>
            </w:r>
          </w:p>
          <w:p w:rsidR="00A02EF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6</w:t>
            </w:r>
            <w:r w:rsidRPr="00161097">
              <w:t xml:space="preserve"> sati</w:t>
            </w:r>
          </w:p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747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24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791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72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11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211A47">
        <w:trPr>
          <w:trHeight w:val="405"/>
        </w:trPr>
        <w:tc>
          <w:tcPr>
            <w:tcW w:w="24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747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4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791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72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29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66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6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48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211A47">
        <w:trPr>
          <w:cantSplit/>
          <w:trHeight w:val="1134"/>
        </w:trPr>
        <w:tc>
          <w:tcPr>
            <w:tcW w:w="240" w:type="pct"/>
            <w:textDirection w:val="btLr"/>
          </w:tcPr>
          <w:p w:rsidR="00A02EF7" w:rsidRPr="00161097" w:rsidRDefault="00AF2155" w:rsidP="00DD1AE4">
            <w:pPr>
              <w:spacing w:after="0"/>
              <w:ind w:left="113" w:right="113"/>
              <w:jc w:val="center"/>
            </w:pPr>
            <w:r>
              <w:t>6. 9. 2017.</w:t>
            </w:r>
          </w:p>
        </w:tc>
        <w:tc>
          <w:tcPr>
            <w:tcW w:w="747" w:type="pct"/>
          </w:tcPr>
          <w:p w:rsidR="00A02EF7" w:rsidRDefault="00965C56" w:rsidP="00DD1AE4">
            <w:pPr>
              <w:spacing w:after="0"/>
            </w:pPr>
            <w:r>
              <w:t>Tijela u prostoru</w:t>
            </w:r>
          </w:p>
          <w:p w:rsidR="00965C56" w:rsidRDefault="00965C56" w:rsidP="00DD1AE4">
            <w:pPr>
              <w:spacing w:after="0"/>
            </w:pPr>
            <w:r>
              <w:t>Geometrijski likovi</w:t>
            </w:r>
          </w:p>
          <w:p w:rsidR="00965C56" w:rsidRPr="00161097" w:rsidRDefault="00965C56" w:rsidP="00DD1AE4">
            <w:pPr>
              <w:spacing w:after="0"/>
            </w:pPr>
            <w:r>
              <w:t>Točka, ravna i zakrivljena crta, zbrajanje i oduzimanje brojeva do 20</w:t>
            </w:r>
          </w:p>
        </w:tc>
        <w:tc>
          <w:tcPr>
            <w:tcW w:w="524" w:type="pct"/>
          </w:tcPr>
          <w:p w:rsidR="00A02EF7" w:rsidRPr="00161097" w:rsidRDefault="00F8195A" w:rsidP="00DD1AE4">
            <w:pPr>
              <w:spacing w:after="0"/>
            </w:pPr>
            <w:r>
              <w:t xml:space="preserve">Brojevi do 20, znamenka, jedinica, </w:t>
            </w:r>
            <w:proofErr w:type="spellStart"/>
            <w:r>
              <w:t>desetic</w:t>
            </w:r>
            <w:proofErr w:type="spellEnd"/>
            <w:r>
              <w:t xml:space="preserve"> a</w:t>
            </w:r>
            <w:r w:rsidR="00AC1731">
              <w:t>, geometrijska tijela i likovi</w:t>
            </w:r>
            <w:r w:rsidR="00DB7047">
              <w:t>, točka, ravna i zakrivljena crta</w:t>
            </w:r>
          </w:p>
        </w:tc>
        <w:tc>
          <w:tcPr>
            <w:tcW w:w="791" w:type="pct"/>
          </w:tcPr>
          <w:p w:rsidR="00A02EF7" w:rsidRPr="00161097" w:rsidRDefault="00AF2155" w:rsidP="00DD1AE4">
            <w:pPr>
              <w:spacing w:after="0"/>
            </w:pPr>
            <w:r w:rsidRPr="00AF2155">
              <w:t>prepoznati i imenovati geometrijska tijela među predmetima iz neposredne okoline, na modelima i ilustracijama</w:t>
            </w:r>
            <w:r>
              <w:t>,isticati točke kružićima velikim tiskanim slovima, ovladati postupkom zbrajanja i oduzimanja do 20, točno zapisivanje brojeva do 20.</w:t>
            </w:r>
          </w:p>
        </w:tc>
        <w:tc>
          <w:tcPr>
            <w:tcW w:w="872" w:type="pct"/>
          </w:tcPr>
          <w:p w:rsidR="00A02EF7" w:rsidRPr="00161097" w:rsidRDefault="00F8195A" w:rsidP="00DD1AE4">
            <w:pPr>
              <w:spacing w:after="0"/>
            </w:pPr>
            <w:r>
              <w:t>Inicijalni ispit</w:t>
            </w:r>
          </w:p>
        </w:tc>
        <w:tc>
          <w:tcPr>
            <w:tcW w:w="329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66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6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4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615" w:type="pct"/>
          </w:tcPr>
          <w:p w:rsidR="00A02EF7" w:rsidRPr="00161097" w:rsidRDefault="00DB7047" w:rsidP="00DD1AE4">
            <w:pPr>
              <w:spacing w:after="0"/>
            </w:pPr>
            <w:r>
              <w:t>HJ, PID</w:t>
            </w:r>
          </w:p>
        </w:tc>
      </w:tr>
      <w:tr w:rsidR="00AF2155" w:rsidRPr="00161097" w:rsidTr="00211A47">
        <w:trPr>
          <w:cantSplit/>
          <w:trHeight w:val="1134"/>
        </w:trPr>
        <w:tc>
          <w:tcPr>
            <w:tcW w:w="240" w:type="pct"/>
            <w:textDirection w:val="btLr"/>
          </w:tcPr>
          <w:p w:rsidR="00AF2155" w:rsidRPr="00161097" w:rsidRDefault="00AF2155" w:rsidP="00DD1AE4">
            <w:pPr>
              <w:spacing w:after="0"/>
              <w:ind w:left="113" w:right="113"/>
              <w:jc w:val="center"/>
            </w:pPr>
            <w:r>
              <w:lastRenderedPageBreak/>
              <w:t>18. – 22. 9. 2017.</w:t>
            </w:r>
          </w:p>
        </w:tc>
        <w:tc>
          <w:tcPr>
            <w:tcW w:w="747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524" w:type="pct"/>
          </w:tcPr>
          <w:p w:rsidR="00AF2155" w:rsidRPr="00161097" w:rsidRDefault="00AF2155" w:rsidP="00DD1AE4">
            <w:pPr>
              <w:spacing w:after="0"/>
            </w:pPr>
            <w:r>
              <w:t xml:space="preserve">Brojevi do 20, znamenka, jedinica, </w:t>
            </w:r>
            <w:proofErr w:type="spellStart"/>
            <w:r>
              <w:t>desetic</w:t>
            </w:r>
            <w:proofErr w:type="spellEnd"/>
            <w:r>
              <w:t xml:space="preserve"> a, geometrijska tijela i likovi, točka, ravna i zakrivljena crta</w:t>
            </w:r>
          </w:p>
        </w:tc>
        <w:tc>
          <w:tcPr>
            <w:tcW w:w="791" w:type="pct"/>
          </w:tcPr>
          <w:p w:rsidR="00AF2155" w:rsidRPr="00AF2155" w:rsidRDefault="00AF2155" w:rsidP="00DD1AE4">
            <w:pPr>
              <w:spacing w:after="0" w:line="240" w:lineRule="auto"/>
            </w:pPr>
            <w:r w:rsidRPr="00AF2155">
              <w:t>prepoznati i imenovati geometrijska tijela među predmetima iz neposredne okoline, na modelima i ilustracijama</w:t>
            </w:r>
            <w:r>
              <w:t>,isticati točke kružićima velikim tiskanim slovima, ovladati postupkom zbrajanja i oduzimanja do 20, točno zapisivanje brojeva do 20.</w:t>
            </w:r>
          </w:p>
        </w:tc>
        <w:tc>
          <w:tcPr>
            <w:tcW w:w="872" w:type="pct"/>
          </w:tcPr>
          <w:p w:rsidR="00AF2155" w:rsidRDefault="00AF2155" w:rsidP="00DD1AE4">
            <w:pPr>
              <w:spacing w:after="0"/>
            </w:pPr>
            <w:r>
              <w:t>Pisana provjera nakon ponavljanja – Zbrajanje i oduzimanje do 20, tijela u prostoru, geometrijski likovi</w:t>
            </w:r>
          </w:p>
        </w:tc>
        <w:tc>
          <w:tcPr>
            <w:tcW w:w="329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6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34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615" w:type="pct"/>
          </w:tcPr>
          <w:p w:rsidR="00AF2155" w:rsidRPr="00161097" w:rsidRDefault="00AF2155" w:rsidP="00DD1AE4">
            <w:pPr>
              <w:spacing w:after="0"/>
            </w:pPr>
            <w:r>
              <w:t>HJ, PID</w:t>
            </w:r>
          </w:p>
        </w:tc>
      </w:tr>
      <w:tr w:rsidR="00AF2155" w:rsidRPr="00161097" w:rsidTr="00211A47">
        <w:trPr>
          <w:cantSplit/>
          <w:trHeight w:val="1134"/>
        </w:trPr>
        <w:tc>
          <w:tcPr>
            <w:tcW w:w="240" w:type="pct"/>
            <w:textDirection w:val="btLr"/>
          </w:tcPr>
          <w:p w:rsidR="00AF2155" w:rsidRPr="00161097" w:rsidRDefault="00BB7670" w:rsidP="00DD1AE4">
            <w:pPr>
              <w:spacing w:after="0"/>
              <w:ind w:left="113" w:right="113"/>
              <w:jc w:val="center"/>
            </w:pPr>
            <w:r>
              <w:t>13</w:t>
            </w:r>
            <w:r w:rsidR="00AF2155">
              <w:t>. –</w:t>
            </w:r>
            <w:r>
              <w:t xml:space="preserve"> 17</w:t>
            </w:r>
            <w:r w:rsidR="00AF2155">
              <w:t xml:space="preserve">. </w:t>
            </w:r>
            <w:r w:rsidR="008628D4">
              <w:t>11</w:t>
            </w:r>
            <w:r w:rsidR="00D020F1">
              <w:t xml:space="preserve">. </w:t>
            </w:r>
            <w:r w:rsidR="00AF2155">
              <w:t xml:space="preserve">2017. </w:t>
            </w:r>
          </w:p>
        </w:tc>
        <w:tc>
          <w:tcPr>
            <w:tcW w:w="747" w:type="pct"/>
          </w:tcPr>
          <w:p w:rsidR="00335A77" w:rsidRDefault="00335A77" w:rsidP="00DD1AE4">
            <w:pPr>
              <w:spacing w:after="0"/>
            </w:pPr>
          </w:p>
          <w:p w:rsidR="00AF2155" w:rsidRPr="00335A77" w:rsidRDefault="00335A77" w:rsidP="00335A77">
            <w:r>
              <w:t>Brojevi do 100</w:t>
            </w:r>
          </w:p>
        </w:tc>
        <w:tc>
          <w:tcPr>
            <w:tcW w:w="524" w:type="pct"/>
          </w:tcPr>
          <w:p w:rsidR="00AF2155" w:rsidRDefault="00271433" w:rsidP="00DD1AE4">
            <w:pPr>
              <w:spacing w:after="0"/>
            </w:pPr>
            <w:r>
              <w:t>Jedinice, desetice, brojenje, brojevi do 100, uspoređivanje brojeva</w:t>
            </w:r>
          </w:p>
        </w:tc>
        <w:tc>
          <w:tcPr>
            <w:tcW w:w="791" w:type="pct"/>
          </w:tcPr>
          <w:p w:rsidR="00AF2155" w:rsidRPr="00634198" w:rsidRDefault="006335DD" w:rsidP="00DD1AE4">
            <w:pPr>
              <w:spacing w:after="0" w:line="240" w:lineRule="auto"/>
            </w:pPr>
            <w:r>
              <w:t xml:space="preserve">- </w:t>
            </w:r>
            <w:r w:rsidR="00634198">
              <w:t>Čitati i pisati i brojiti do 100, pravilno izgovarati brojeve do 100, razumjeti strukturu brojeva do 100, odrediti mjesto broja na brojevnoj crti, usporediti i matematičkim zapisom izraziti odnos među brojevima do 100</w:t>
            </w:r>
          </w:p>
        </w:tc>
        <w:tc>
          <w:tcPr>
            <w:tcW w:w="872" w:type="pct"/>
          </w:tcPr>
          <w:p w:rsidR="00AF2155" w:rsidRDefault="00D020F1" w:rsidP="00DD1AE4">
            <w:pPr>
              <w:spacing w:after="0"/>
            </w:pPr>
            <w:r>
              <w:t>Brojevi do 100</w:t>
            </w:r>
          </w:p>
        </w:tc>
        <w:tc>
          <w:tcPr>
            <w:tcW w:w="329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6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34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615" w:type="pct"/>
          </w:tcPr>
          <w:p w:rsidR="00AF2155" w:rsidRDefault="00D020F1" w:rsidP="00DD1AE4">
            <w:pPr>
              <w:spacing w:after="0"/>
            </w:pPr>
            <w:r>
              <w:t>HJ, PID</w:t>
            </w:r>
          </w:p>
        </w:tc>
      </w:tr>
      <w:tr w:rsidR="00203FC8" w:rsidRPr="00161097" w:rsidTr="00211A47">
        <w:trPr>
          <w:cantSplit/>
          <w:trHeight w:val="1134"/>
        </w:trPr>
        <w:tc>
          <w:tcPr>
            <w:tcW w:w="240" w:type="pct"/>
            <w:textDirection w:val="btLr"/>
          </w:tcPr>
          <w:p w:rsidR="00203FC8" w:rsidRDefault="00203FC8" w:rsidP="00DD1AE4">
            <w:pPr>
              <w:spacing w:after="0"/>
              <w:ind w:left="113" w:right="113"/>
              <w:jc w:val="center"/>
            </w:pPr>
            <w:r>
              <w:t>27. 11. 30. 11. 2017.</w:t>
            </w:r>
            <w:r w:rsidR="00AA3381">
              <w:t xml:space="preserve"> </w:t>
            </w:r>
          </w:p>
        </w:tc>
        <w:tc>
          <w:tcPr>
            <w:tcW w:w="747" w:type="pct"/>
          </w:tcPr>
          <w:p w:rsidR="00203FC8" w:rsidRPr="00AA3381" w:rsidRDefault="00AA3381" w:rsidP="00DD1AE4">
            <w:pPr>
              <w:spacing w:after="0"/>
            </w:pPr>
            <w:r w:rsidRPr="00AA3381">
              <w:t>Zbrajanje i oduzimanje triju i više brojeva</w:t>
            </w:r>
          </w:p>
        </w:tc>
        <w:tc>
          <w:tcPr>
            <w:tcW w:w="524" w:type="pct"/>
          </w:tcPr>
          <w:p w:rsidR="00203FC8" w:rsidRPr="00AA3381" w:rsidRDefault="00AA3381" w:rsidP="00DD1AE4">
            <w:pPr>
              <w:spacing w:after="0"/>
            </w:pPr>
            <w:r w:rsidRPr="00AA3381">
              <w:t>zbrajanje, oduzimanje, pribrojnici, zbroj, zagrade</w:t>
            </w:r>
          </w:p>
        </w:tc>
        <w:tc>
          <w:tcPr>
            <w:tcW w:w="791" w:type="pct"/>
          </w:tcPr>
          <w:p w:rsidR="00203FC8" w:rsidRDefault="006335DD" w:rsidP="00DD1AE4">
            <w:pPr>
              <w:spacing w:after="0" w:line="240" w:lineRule="auto"/>
            </w:pPr>
            <w:r>
              <w:t xml:space="preserve">- </w:t>
            </w:r>
            <w:r w:rsidRPr="006335DD">
              <w:t>ovladati postupkom rješavanja zadataka uz uporabu i bez uporabe zagrada</w:t>
            </w:r>
          </w:p>
          <w:p w:rsidR="006335DD" w:rsidRPr="006335DD" w:rsidRDefault="006335DD" w:rsidP="00DD1AE4">
            <w:pPr>
              <w:spacing w:after="0" w:line="240" w:lineRule="auto"/>
            </w:pPr>
          </w:p>
        </w:tc>
        <w:tc>
          <w:tcPr>
            <w:tcW w:w="872" w:type="pct"/>
          </w:tcPr>
          <w:p w:rsidR="00203FC8" w:rsidRDefault="006335DD" w:rsidP="00DD1AE4">
            <w:pPr>
              <w:spacing w:after="0"/>
            </w:pPr>
            <w:r>
              <w:t>Pisana provjera</w:t>
            </w:r>
          </w:p>
        </w:tc>
        <w:tc>
          <w:tcPr>
            <w:tcW w:w="329" w:type="pct"/>
          </w:tcPr>
          <w:p w:rsidR="00203FC8" w:rsidRPr="00161097" w:rsidRDefault="00203FC8" w:rsidP="00DD1AE4">
            <w:pPr>
              <w:spacing w:after="0"/>
            </w:pPr>
          </w:p>
        </w:tc>
        <w:tc>
          <w:tcPr>
            <w:tcW w:w="266" w:type="pct"/>
          </w:tcPr>
          <w:p w:rsidR="00203FC8" w:rsidRPr="00161097" w:rsidRDefault="00203FC8" w:rsidP="00DD1AE4">
            <w:pPr>
              <w:spacing w:after="0"/>
            </w:pPr>
          </w:p>
        </w:tc>
        <w:tc>
          <w:tcPr>
            <w:tcW w:w="268" w:type="pct"/>
          </w:tcPr>
          <w:p w:rsidR="00203FC8" w:rsidRPr="00161097" w:rsidRDefault="00203FC8" w:rsidP="00DD1AE4">
            <w:pPr>
              <w:spacing w:after="0"/>
            </w:pPr>
          </w:p>
        </w:tc>
        <w:tc>
          <w:tcPr>
            <w:tcW w:w="348" w:type="pct"/>
          </w:tcPr>
          <w:p w:rsidR="00203FC8" w:rsidRPr="00161097" w:rsidRDefault="00203FC8" w:rsidP="00DD1AE4">
            <w:pPr>
              <w:spacing w:after="0"/>
            </w:pPr>
          </w:p>
        </w:tc>
        <w:tc>
          <w:tcPr>
            <w:tcW w:w="615" w:type="pct"/>
          </w:tcPr>
          <w:p w:rsidR="00203FC8" w:rsidRDefault="006335DD" w:rsidP="00DD1AE4">
            <w:pPr>
              <w:spacing w:after="0"/>
            </w:pPr>
            <w:r>
              <w:t>HJ, PID</w:t>
            </w:r>
          </w:p>
        </w:tc>
      </w:tr>
      <w:tr w:rsidR="00AF2155" w:rsidRPr="00161097" w:rsidTr="00211A47">
        <w:trPr>
          <w:cantSplit/>
          <w:trHeight w:val="1134"/>
        </w:trPr>
        <w:tc>
          <w:tcPr>
            <w:tcW w:w="240" w:type="pct"/>
            <w:textDirection w:val="btLr"/>
          </w:tcPr>
          <w:p w:rsidR="00AF2155" w:rsidRPr="00161097" w:rsidRDefault="00342242" w:rsidP="00DD1AE4">
            <w:pPr>
              <w:spacing w:after="0"/>
              <w:ind w:left="113" w:right="113"/>
              <w:jc w:val="center"/>
            </w:pPr>
            <w:r>
              <w:lastRenderedPageBreak/>
              <w:t>13.-17.11. 2017.</w:t>
            </w:r>
          </w:p>
        </w:tc>
        <w:tc>
          <w:tcPr>
            <w:tcW w:w="747" w:type="pct"/>
          </w:tcPr>
          <w:p w:rsidR="00AF2155" w:rsidRDefault="00121AB2" w:rsidP="00DD1AE4">
            <w:pPr>
              <w:spacing w:after="0"/>
            </w:pPr>
            <w:r>
              <w:t xml:space="preserve">- </w:t>
            </w:r>
            <w:r w:rsidRPr="00121AB2">
              <w:t>Zbrajanje dvoznamenkastoga i jednoznamenkastoga broja</w:t>
            </w:r>
          </w:p>
          <w:p w:rsidR="00121AB2" w:rsidRPr="00121AB2" w:rsidRDefault="00121AB2" w:rsidP="00DD1AE4">
            <w:pPr>
              <w:spacing w:after="0"/>
            </w:pPr>
            <w:r>
              <w:t xml:space="preserve">- </w:t>
            </w:r>
            <w:r w:rsidRPr="00121AB2">
              <w:t xml:space="preserve">Oduzimanje </w:t>
            </w:r>
            <w:proofErr w:type="spellStart"/>
            <w:r w:rsidRPr="00121AB2">
              <w:t>jednoznam</w:t>
            </w:r>
            <w:proofErr w:type="spellEnd"/>
            <w:r w:rsidRPr="00121AB2">
              <w:t xml:space="preserve">. broja od </w:t>
            </w:r>
            <w:proofErr w:type="spellStart"/>
            <w:r w:rsidRPr="00121AB2">
              <w:t>dvoznam</w:t>
            </w:r>
            <w:proofErr w:type="spellEnd"/>
            <w:r w:rsidRPr="00121AB2">
              <w:t>.</w:t>
            </w:r>
          </w:p>
        </w:tc>
        <w:tc>
          <w:tcPr>
            <w:tcW w:w="524" w:type="pct"/>
          </w:tcPr>
          <w:p w:rsidR="00AF2155" w:rsidRDefault="00121AB2" w:rsidP="00DD1AE4">
            <w:pPr>
              <w:spacing w:after="0"/>
            </w:pPr>
            <w:r>
              <w:t>Zbrajanje , oduzimanje,</w:t>
            </w:r>
            <w:r w:rsidRPr="0034619B">
              <w:rPr>
                <w:sz w:val="16"/>
                <w:szCs w:val="16"/>
              </w:rPr>
              <w:t xml:space="preserve"> </w:t>
            </w:r>
            <w:proofErr w:type="spellStart"/>
            <w:r w:rsidRPr="00121AB2">
              <w:t>dvoznam</w:t>
            </w:r>
            <w:proofErr w:type="spellEnd"/>
            <w:r w:rsidRPr="00121AB2">
              <w:t xml:space="preserve">. broj, </w:t>
            </w:r>
            <w:proofErr w:type="spellStart"/>
            <w:r w:rsidRPr="00121AB2">
              <w:t>jednoznam</w:t>
            </w:r>
            <w:proofErr w:type="spellEnd"/>
            <w:r w:rsidRPr="00121AB2">
              <w:t>. broj</w:t>
            </w:r>
          </w:p>
        </w:tc>
        <w:tc>
          <w:tcPr>
            <w:tcW w:w="791" w:type="pct"/>
          </w:tcPr>
          <w:p w:rsidR="00AF2155" w:rsidRDefault="00121AB2" w:rsidP="00DD1AE4">
            <w:pPr>
              <w:spacing w:after="0" w:line="240" w:lineRule="auto"/>
            </w:pPr>
            <w:r>
              <w:t xml:space="preserve">- </w:t>
            </w:r>
            <w:r w:rsidRPr="00121AB2">
              <w:t>ovladati postupkom zbrajanja dvoznamenkastoga i jednoznamenkastoga broja</w:t>
            </w:r>
          </w:p>
          <w:p w:rsidR="00121AB2" w:rsidRDefault="00121AB2" w:rsidP="00DD1AE4">
            <w:pPr>
              <w:spacing w:after="0" w:line="240" w:lineRule="auto"/>
            </w:pPr>
            <w:r>
              <w:t xml:space="preserve">- </w:t>
            </w:r>
            <w:r w:rsidRPr="00121AB2">
              <w:t>ovladati postupkom oduzimanja jednoznamenkastoga broja od dvoznamenkastoga</w:t>
            </w:r>
          </w:p>
          <w:p w:rsidR="00121AB2" w:rsidRDefault="00121AB2" w:rsidP="00DD1AE4">
            <w:pPr>
              <w:spacing w:after="0" w:line="240" w:lineRule="auto"/>
            </w:pPr>
            <w:r>
              <w:t xml:space="preserve">- </w:t>
            </w:r>
            <w:r w:rsidRPr="00121AB2">
              <w:t>razumjeti postupak zamjene mjesta pribrojnika</w:t>
            </w:r>
          </w:p>
          <w:p w:rsidR="00184A71" w:rsidRPr="00184A71" w:rsidRDefault="008628D4" w:rsidP="00DD1AE4">
            <w:pPr>
              <w:spacing w:after="0" w:line="240" w:lineRule="auto"/>
            </w:pPr>
            <w:r>
              <w:t xml:space="preserve">- </w:t>
            </w:r>
            <w:r w:rsidR="00184A71" w:rsidRPr="00184A71">
              <w:t>ovladati postupkom rješavanja zadataka uz uporabu i bez uporabe zagrada</w:t>
            </w:r>
          </w:p>
          <w:p w:rsidR="00184A71" w:rsidRPr="00121AB2" w:rsidRDefault="00184A71" w:rsidP="00DD1AE4">
            <w:pPr>
              <w:spacing w:after="0" w:line="240" w:lineRule="auto"/>
            </w:pPr>
          </w:p>
        </w:tc>
        <w:tc>
          <w:tcPr>
            <w:tcW w:w="872" w:type="pct"/>
          </w:tcPr>
          <w:p w:rsidR="006A4634" w:rsidRDefault="006A4634" w:rsidP="00DD1AE4">
            <w:pPr>
              <w:spacing w:after="0"/>
            </w:pPr>
          </w:p>
          <w:p w:rsidR="00AF2155" w:rsidRPr="006A4634" w:rsidRDefault="00AF2155" w:rsidP="006A4634"/>
        </w:tc>
        <w:tc>
          <w:tcPr>
            <w:tcW w:w="329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6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26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348" w:type="pct"/>
          </w:tcPr>
          <w:p w:rsidR="00AF2155" w:rsidRPr="00161097" w:rsidRDefault="00AF2155" w:rsidP="00DD1AE4">
            <w:pPr>
              <w:spacing w:after="0"/>
            </w:pPr>
          </w:p>
        </w:tc>
        <w:tc>
          <w:tcPr>
            <w:tcW w:w="615" w:type="pct"/>
          </w:tcPr>
          <w:p w:rsidR="00AF2155" w:rsidRDefault="006A4634" w:rsidP="00DD1AE4">
            <w:pPr>
              <w:spacing w:after="0"/>
            </w:pPr>
            <w:r>
              <w:t>HJ, PID</w:t>
            </w:r>
          </w:p>
        </w:tc>
      </w:tr>
    </w:tbl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LISTOPAD</w:t>
      </w:r>
    </w:p>
    <w:p w:rsidR="00A02EF7" w:rsidRPr="00FA5BF8" w:rsidRDefault="00A02EF7" w:rsidP="00A02EF7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1490"/>
        <w:gridCol w:w="1539"/>
        <w:gridCol w:w="2316"/>
        <w:gridCol w:w="2535"/>
        <w:gridCol w:w="990"/>
        <w:gridCol w:w="812"/>
        <w:gridCol w:w="815"/>
        <w:gridCol w:w="1045"/>
        <w:gridCol w:w="1748"/>
      </w:tblGrid>
      <w:tr w:rsidR="00A02EF7" w:rsidRPr="00161097" w:rsidTr="00DD1AE4">
        <w:trPr>
          <w:trHeight w:val="405"/>
        </w:trPr>
        <w:tc>
          <w:tcPr>
            <w:tcW w:w="257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listopad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6</w:t>
            </w:r>
            <w:r w:rsidRPr="00161097">
              <w:t xml:space="preserve"> sati</w:t>
            </w:r>
          </w:p>
        </w:tc>
        <w:tc>
          <w:tcPr>
            <w:tcW w:w="53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5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2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90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322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257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3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5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2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90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94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95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6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257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25.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7. tjedan ( 17.10. – 21.10. 2016.)</w:t>
            </w:r>
          </w:p>
        </w:tc>
        <w:tc>
          <w:tcPr>
            <w:tcW w:w="533" w:type="pct"/>
          </w:tcPr>
          <w:p w:rsidR="00A02EF7" w:rsidRPr="00161097" w:rsidRDefault="00A02EF7" w:rsidP="00DD1AE4">
            <w:pPr>
              <w:spacing w:after="0"/>
            </w:pPr>
            <w:r w:rsidRPr="00161097">
              <w:t>Ravne i zakrivljene crte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Točka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Geometrijski likovi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550" w:type="pct"/>
          </w:tcPr>
          <w:p w:rsidR="00A02EF7" w:rsidRPr="00161097" w:rsidRDefault="00A02EF7" w:rsidP="00DD1AE4">
            <w:pPr>
              <w:spacing w:after="0"/>
            </w:pPr>
            <w:r w:rsidRPr="00161097">
              <w:t>crta, ravna crta, zakrivljena crta, izlomljena crta;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sjecište crta, točka;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geometrijski lik, krug, trokut, pravokutnik, kvadrat</w:t>
            </w:r>
          </w:p>
        </w:tc>
        <w:tc>
          <w:tcPr>
            <w:tcW w:w="823" w:type="pct"/>
          </w:tcPr>
          <w:p w:rsidR="00A02EF7" w:rsidRPr="00161097" w:rsidRDefault="00A02EF7" w:rsidP="00DD1AE4">
            <w:pPr>
              <w:spacing w:after="0"/>
            </w:pPr>
            <w:r w:rsidRPr="00161097">
              <w:t>razlikovati ravne, izlomljene i zakrivljene crte; crtati zakrivljene, izlomljene i ravne crte; isticati točke kružićem ili križićem; označavati točku velikim tiskanim slovima;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spajati ravnom ili zakrivljenom crtom dvije točke;prepoznati, imenovati i razlikovati krug, pravokutnik, kvadrat i trokut</w:t>
            </w:r>
          </w:p>
        </w:tc>
        <w:tc>
          <w:tcPr>
            <w:tcW w:w="900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Ravne i zakrivljene crte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Točka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Geometrijski likovi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- provjera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357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94" w:type="pct"/>
          </w:tcPr>
          <w:p w:rsidR="00A02EF7" w:rsidRPr="00161097" w:rsidRDefault="00A02EF7" w:rsidP="00DD1AE4">
            <w:pPr>
              <w:spacing w:after="0"/>
            </w:pPr>
            <w:r w:rsidRPr="00161097">
              <w:t>Str. 25</w:t>
            </w:r>
          </w:p>
        </w:tc>
        <w:tc>
          <w:tcPr>
            <w:tcW w:w="295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6" w:type="pct"/>
          </w:tcPr>
          <w:p w:rsidR="00A02EF7" w:rsidRPr="00161097" w:rsidRDefault="00A02EF7" w:rsidP="00DD1AE4">
            <w:pPr>
              <w:spacing w:after="0"/>
            </w:pPr>
            <w:r w:rsidRPr="00161097">
              <w:t>2.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Pr="00FA5BF8" w:rsidRDefault="00A02EF7" w:rsidP="00A02EF7">
      <w:pPr>
        <w:spacing w:after="0" w:line="240" w:lineRule="auto"/>
        <w:rPr>
          <w:sz w:val="20"/>
          <w:szCs w:val="20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STUDENI</w:t>
      </w:r>
    </w:p>
    <w:p w:rsidR="00A02EF7" w:rsidRPr="00FA5BF8" w:rsidRDefault="00A02EF7" w:rsidP="00A02EF7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1516"/>
        <w:gridCol w:w="1542"/>
        <w:gridCol w:w="2319"/>
        <w:gridCol w:w="2538"/>
        <w:gridCol w:w="993"/>
        <w:gridCol w:w="814"/>
        <w:gridCol w:w="817"/>
        <w:gridCol w:w="1050"/>
        <w:gridCol w:w="1748"/>
      </w:tblGrid>
      <w:tr w:rsidR="00A02EF7" w:rsidRPr="00161097" w:rsidTr="00DD1AE4">
        <w:trPr>
          <w:trHeight w:val="405"/>
        </w:trPr>
        <w:tc>
          <w:tcPr>
            <w:tcW w:w="31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studeni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7</w:t>
            </w:r>
            <w:r w:rsidRPr="00161097">
              <w:t xml:space="preserve"> sati</w:t>
            </w:r>
          </w:p>
        </w:tc>
        <w:tc>
          <w:tcPr>
            <w:tcW w:w="52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4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1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9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9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31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4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1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9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0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37.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10. tjedan (7.11. – 11.11.  2016.)</w:t>
            </w: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Brojevi od 1 do 5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Uspoređivanje brojeva do 5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543" w:type="pct"/>
          </w:tcPr>
          <w:p w:rsidR="00A02EF7" w:rsidRPr="00161097" w:rsidRDefault="00A02EF7" w:rsidP="00DD1AE4">
            <w:pPr>
              <w:spacing w:after="0"/>
            </w:pPr>
            <w:r w:rsidRPr="00161097">
              <w:t>broj, brojenje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uspoređivanje brojeva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spacing w:after="0"/>
            </w:pPr>
            <w:r w:rsidRPr="00161097">
              <w:t>zapisivati i čitati brojeve 1, 2, 3, 4 i 5;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brojiti od 1 do 5 i od 5 do 1;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odrediti odnose među brojevima;</w:t>
            </w:r>
          </w:p>
          <w:p w:rsidR="00A02EF7" w:rsidRDefault="00A02EF7" w:rsidP="00DD1AE4">
            <w:pPr>
              <w:spacing w:after="0"/>
            </w:pPr>
            <w:r w:rsidRPr="00161097">
              <w:t>zapisivati zadani odnos znamenkama i znakovima =, &lt;, &gt;</w:t>
            </w:r>
          </w:p>
          <w:p w:rsidR="00A02EF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>Brojevi od 1 do 5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Uspoređivanje brojeva do 5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- provjera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3.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PROSINAC</w:t>
      </w:r>
    </w:p>
    <w:p w:rsidR="00A02EF7" w:rsidRPr="00FA5BF8" w:rsidRDefault="00A02EF7" w:rsidP="00A02EF7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1485"/>
        <w:gridCol w:w="1533"/>
        <w:gridCol w:w="2310"/>
        <w:gridCol w:w="2529"/>
        <w:gridCol w:w="984"/>
        <w:gridCol w:w="805"/>
        <w:gridCol w:w="809"/>
        <w:gridCol w:w="1042"/>
        <w:gridCol w:w="1748"/>
      </w:tblGrid>
      <w:tr w:rsidR="00A02EF7" w:rsidRPr="00161097" w:rsidTr="00DD1AE4">
        <w:trPr>
          <w:trHeight w:val="405"/>
        </w:trPr>
        <w:tc>
          <w:tcPr>
            <w:tcW w:w="31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prosinac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3</w:t>
            </w:r>
            <w:r w:rsidRPr="00161097">
              <w:t xml:space="preserve"> sati</w:t>
            </w:r>
          </w:p>
        </w:tc>
        <w:tc>
          <w:tcPr>
            <w:tcW w:w="52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4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1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9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9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31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4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1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9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1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56.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15. tjedan ( 12.12. – 16.12. 2016.)</w:t>
            </w: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</w:pPr>
            <w:r w:rsidRPr="00161097">
              <w:t>Zbrajanje brojeva od 1 do 5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Oduzimanje brojeva od 1 do 5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Broj 0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Brojevna crta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543" w:type="pct"/>
          </w:tcPr>
          <w:p w:rsidR="00A02EF7" w:rsidRPr="00161097" w:rsidRDefault="00A02EF7" w:rsidP="00DD1AE4">
            <w:pPr>
              <w:spacing w:after="0"/>
            </w:pPr>
            <w:r w:rsidRPr="00161097">
              <w:t>1, 2, 3, 4, 5, zbrajanje, oduzimanje, računska radnja,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broj 0, brojevna crta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usvojiti dodavanje broja 1; zapisivati zbrajanje matematičkim znakovima;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zbrajati brojeve od 1 do 5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usvojiti oduzimanje broja 1; zapisivati oduzimanje matematičkim znakovima;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oduzimati brojeve od 1 do 5;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rješavati zadatke u kojima je 0 rezultat ili jedan od članova u računskoj radnji;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odrediti mjesto broja na brojevnoj crti;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zbrajati i oduzimati na brojevnoj crti</w:t>
            </w: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>Zbrajanje i oduzimanje brojeva od 1 do 5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Broj 0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Brojevna crta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- provjera</w:t>
            </w: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4.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VELJAČA</w:t>
      </w:r>
    </w:p>
    <w:p w:rsidR="00A02EF7" w:rsidRPr="00FA5BF8" w:rsidRDefault="00A02EF7" w:rsidP="00A02EF7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460"/>
        <w:gridCol w:w="1508"/>
        <w:gridCol w:w="2285"/>
        <w:gridCol w:w="2504"/>
        <w:gridCol w:w="959"/>
        <w:gridCol w:w="780"/>
        <w:gridCol w:w="785"/>
        <w:gridCol w:w="1018"/>
        <w:gridCol w:w="1748"/>
      </w:tblGrid>
      <w:tr w:rsidR="00A02EF7" w:rsidRPr="00161097" w:rsidTr="00DD1AE4">
        <w:trPr>
          <w:trHeight w:val="405"/>
        </w:trPr>
        <w:tc>
          <w:tcPr>
            <w:tcW w:w="31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veljača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6</w:t>
            </w:r>
            <w:r w:rsidRPr="00161097">
              <w:t xml:space="preserve"> sati</w:t>
            </w:r>
          </w:p>
        </w:tc>
        <w:tc>
          <w:tcPr>
            <w:tcW w:w="52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4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1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9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9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31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4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1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9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0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78.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21. tjedan ( 6.2. – 10.2. 2017.)</w:t>
            </w: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</w:pPr>
            <w:r w:rsidRPr="00161097">
              <w:t>Brojevi od 6 do 10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Zadatci riječima</w:t>
            </w:r>
          </w:p>
        </w:tc>
        <w:tc>
          <w:tcPr>
            <w:tcW w:w="543" w:type="pct"/>
          </w:tcPr>
          <w:p w:rsidR="00A02EF7" w:rsidRPr="00161097" w:rsidRDefault="00A02EF7" w:rsidP="00DD1AE4">
            <w:pPr>
              <w:spacing w:after="0"/>
            </w:pPr>
            <w:r w:rsidRPr="00161097">
              <w:t>6, 7, 8, 9, 10; zadatak zadan riječima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spacing w:after="0"/>
            </w:pPr>
            <w:r w:rsidRPr="00161097">
              <w:t>razumjeti nastajanje niza brojeva do 10;  zapisivati i čitati brojeve do 10; brojiti od 1 do 10 i od 10 do 1; zbrajati, oduzimati i uspoređivati u skupu brojeva do 10; ovladati postupkom rješavanja zadataka zadanih riječima</w:t>
            </w: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>Zbrajanje i oduzimanje brojeva u skupu brojeva do 10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Zadatci riječima - provjera</w:t>
            </w: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5.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0" w:type="pct"/>
            <w:textDirection w:val="btLr"/>
          </w:tcPr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 w:rsidRPr="00161097">
              <w:t>90.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24. tjedan (</w:t>
            </w:r>
            <w:r w:rsidRPr="00A15ECC">
              <w:t>27. 2. – 3. 3. 2017.</w:t>
            </w:r>
            <w:r>
              <w:t>)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</w:pPr>
            <w:r w:rsidRPr="00161097">
              <w:t>Zamjena mjesta pribrojnika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  <w:r w:rsidRPr="00161097">
              <w:t>Veza zbrajanja i oduzimanja</w:t>
            </w:r>
          </w:p>
        </w:tc>
        <w:tc>
          <w:tcPr>
            <w:tcW w:w="543" w:type="pct"/>
          </w:tcPr>
          <w:p w:rsidR="00A02EF7" w:rsidRPr="00161097" w:rsidRDefault="00A02EF7" w:rsidP="00DD1AE4">
            <w:pPr>
              <w:spacing w:after="0"/>
            </w:pPr>
            <w:r w:rsidRPr="00161097">
              <w:t>pribrojnici, zbroj, zamjena mjesta pribrojnika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umanjenik, umanjitelj, razlika,veza zbrajanja i oduzimanja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spacing w:after="0"/>
            </w:pPr>
            <w:r w:rsidRPr="00161097">
              <w:t>rabiti nazive pribrojnici i zbroj; primijeniti svojstvo zamjene mjesta pribrojnika;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rabiti nazive umanjenik, umanjitelj, razlika;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primjenjivati vezu zbrajanja i oduzimanja</w:t>
            </w: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Zamjena mjesta pribrojnika;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Veza zbrajanja i oduzimanja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- provjera</w:t>
            </w: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6.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  <w:rPr>
                <w:color w:val="FF0000"/>
              </w:rPr>
            </w:pPr>
          </w:p>
        </w:tc>
      </w:tr>
    </w:tbl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OŽUJAK</w:t>
      </w:r>
    </w:p>
    <w:p w:rsidR="00A02EF7" w:rsidRPr="00FA5BF8" w:rsidRDefault="00A02EF7" w:rsidP="00A02EF7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440"/>
        <w:gridCol w:w="1963"/>
        <w:gridCol w:w="2266"/>
        <w:gridCol w:w="2485"/>
        <w:gridCol w:w="940"/>
        <w:gridCol w:w="761"/>
        <w:gridCol w:w="764"/>
        <w:gridCol w:w="997"/>
        <w:gridCol w:w="1748"/>
      </w:tblGrid>
      <w:tr w:rsidR="00A02EF7" w:rsidRPr="00161097" w:rsidTr="00DD1AE4">
        <w:trPr>
          <w:trHeight w:val="405"/>
        </w:trPr>
        <w:tc>
          <w:tcPr>
            <w:tcW w:w="292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ožujak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8</w:t>
            </w:r>
            <w:r w:rsidRPr="00161097">
              <w:t xml:space="preserve"> sati</w:t>
            </w:r>
          </w:p>
        </w:tc>
        <w:tc>
          <w:tcPr>
            <w:tcW w:w="508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69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798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7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23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292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08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69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798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7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32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69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7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52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292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102.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27. tjedan ( 20.3. – 24.3. 2017.)</w:t>
            </w:r>
          </w:p>
        </w:tc>
        <w:tc>
          <w:tcPr>
            <w:tcW w:w="508" w:type="pct"/>
          </w:tcPr>
          <w:p w:rsidR="00A02EF7" w:rsidRPr="00161097" w:rsidRDefault="00A02EF7" w:rsidP="00DD1AE4">
            <w:pPr>
              <w:spacing w:after="0"/>
            </w:pPr>
            <w:r w:rsidRPr="00161097">
              <w:t>Redni brojevi do 20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690" w:type="pct"/>
          </w:tcPr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brojevi od 11 do 20, znamenka,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jedinica, desetica</w:t>
            </w:r>
          </w:p>
          <w:p w:rsidR="00A02EF7" w:rsidRPr="00161097" w:rsidRDefault="00A02EF7" w:rsidP="00DD1AE4">
            <w:pPr>
              <w:spacing w:after="0"/>
              <w:ind w:right="113"/>
            </w:pPr>
            <w:r w:rsidRPr="00161097">
              <w:t>uspoređivanje brojeva</w:t>
            </w:r>
          </w:p>
          <w:p w:rsidR="00A02EF7" w:rsidRPr="00161097" w:rsidRDefault="00A02EF7" w:rsidP="00DD1AE4">
            <w:pPr>
              <w:spacing w:after="0"/>
              <w:ind w:right="113"/>
            </w:pPr>
            <w:r w:rsidRPr="00161097">
              <w:t>jednoznamenkasti i dvoznamenkasti brojevi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redni broj, glavni broj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798" w:type="pct"/>
          </w:tcPr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zapisati dvoznamenkasti broj kao zbroj desetica i jedinica; zapisivati, čitati i brojiti do 20</w:t>
            </w:r>
          </w:p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odrediti odnose među</w:t>
            </w:r>
          </w:p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brojevima; zapisati zadani odnos među brojevima do</w:t>
            </w:r>
          </w:p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20</w:t>
            </w:r>
          </w:p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zapisati dvoznamenkasti broj kao zbroj desetica i jedinica; zapisivati, čitati i brojiti do 20</w:t>
            </w:r>
          </w:p>
          <w:p w:rsidR="00A02EF7" w:rsidRPr="005845EF" w:rsidRDefault="00A02EF7" w:rsidP="00DD1A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845EF">
              <w:rPr>
                <w:sz w:val="20"/>
                <w:szCs w:val="20"/>
              </w:rPr>
              <w:t>znati da se znamenkama 0, 1, 2, 3, 4, 5, 6, 7, 8, 9 mogu zapisati svi brojevi; uočiti mjesnu vrijednost znamenke u dvoznamenkastom broju</w:t>
            </w:r>
          </w:p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5845EF">
              <w:rPr>
                <w:sz w:val="20"/>
                <w:szCs w:val="20"/>
              </w:rPr>
              <w:t>razlikovati glavni i redni broj; zapisivati i čitati redne brojeve do 20</w:t>
            </w:r>
          </w:p>
        </w:tc>
        <w:tc>
          <w:tcPr>
            <w:tcW w:w="875" w:type="pct"/>
          </w:tcPr>
          <w:p w:rsidR="00A02EF7" w:rsidRPr="00161097" w:rsidRDefault="00A02EF7" w:rsidP="00DD1AE4">
            <w:pPr>
              <w:spacing w:after="0"/>
            </w:pPr>
            <w:r w:rsidRPr="00161097">
              <w:t>Brojevi od 11 do 20;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Uspoređivanje brojeva do 20;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Jedinice i desetice;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Jednoznamenkasti i dvoznamenkasti brojevi;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Redni brojevi do 20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- provjera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332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69" w:type="pct"/>
          </w:tcPr>
          <w:p w:rsidR="00A02EF7" w:rsidRPr="00161097" w:rsidRDefault="00A02EF7" w:rsidP="00DD1AE4">
            <w:pPr>
              <w:spacing w:after="0"/>
            </w:pPr>
            <w:r w:rsidRPr="00161097">
              <w:t>str. 81</w:t>
            </w:r>
          </w:p>
        </w:tc>
        <w:tc>
          <w:tcPr>
            <w:tcW w:w="27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52" w:type="pct"/>
          </w:tcPr>
          <w:p w:rsidR="00A02EF7" w:rsidRPr="00161097" w:rsidRDefault="00A02EF7" w:rsidP="00DD1AE4">
            <w:pPr>
              <w:spacing w:after="0"/>
            </w:pPr>
            <w:r w:rsidRPr="00161097">
              <w:t>7. ispitni zadatci</w:t>
            </w:r>
          </w:p>
          <w:p w:rsidR="00A02EF7" w:rsidRPr="0016109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</w:p>
    <w:p w:rsidR="00A02EF7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lastRenderedPageBreak/>
        <w:t>TRAVANJ</w:t>
      </w:r>
    </w:p>
    <w:p w:rsidR="00A02EF7" w:rsidRPr="00FA5BF8" w:rsidRDefault="00A02EF7" w:rsidP="00A02EF7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460"/>
        <w:gridCol w:w="1508"/>
        <w:gridCol w:w="2285"/>
        <w:gridCol w:w="2504"/>
        <w:gridCol w:w="959"/>
        <w:gridCol w:w="780"/>
        <w:gridCol w:w="785"/>
        <w:gridCol w:w="1018"/>
        <w:gridCol w:w="1748"/>
      </w:tblGrid>
      <w:tr w:rsidR="00A02EF7" w:rsidRPr="00161097" w:rsidTr="00DD1AE4">
        <w:trPr>
          <w:trHeight w:val="405"/>
        </w:trPr>
        <w:tc>
          <w:tcPr>
            <w:tcW w:w="31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travanj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0</w:t>
            </w:r>
            <w:r w:rsidRPr="00161097">
              <w:t xml:space="preserve"> sati</w:t>
            </w:r>
          </w:p>
        </w:tc>
        <w:tc>
          <w:tcPr>
            <w:tcW w:w="52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4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1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9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9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31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4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1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9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0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br w:type="page"/>
              <w:t>116.</w:t>
            </w:r>
          </w:p>
          <w:p w:rsidR="00A02EF7" w:rsidRDefault="00A02EF7" w:rsidP="00DD1AE4">
            <w:pPr>
              <w:spacing w:after="0"/>
              <w:ind w:left="113" w:right="113"/>
              <w:jc w:val="center"/>
            </w:pPr>
            <w:r>
              <w:t>31. tjedan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(24.4. – 28.4.2017.)</w:t>
            </w: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Zbrajanje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 i oduzimanje brojeva do 20</w:t>
            </w:r>
          </w:p>
        </w:tc>
        <w:tc>
          <w:tcPr>
            <w:tcW w:w="543" w:type="pct"/>
          </w:tcPr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zbrajanje i oduzimanje brojeva do 20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ovladati postupkom zbrajanja i oduzimanja brojeva do 20</w:t>
            </w: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Zbrajanje i oduzimanje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(10 + 3, 13 – 3, 14 + 3,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17 – 3)</w:t>
            </w:r>
          </w:p>
          <w:p w:rsidR="00A02EF7" w:rsidRDefault="00A02EF7" w:rsidP="00DD1AE4">
            <w:pPr>
              <w:spacing w:after="0"/>
            </w:pPr>
            <w:r w:rsidRPr="00161097">
              <w:t>- provjera</w:t>
            </w:r>
          </w:p>
          <w:p w:rsidR="00A02EF7" w:rsidRDefault="00A02EF7" w:rsidP="00DD1AE4">
            <w:pPr>
              <w:spacing w:after="0"/>
            </w:pPr>
          </w:p>
          <w:p w:rsidR="00A02EF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  <w:r w:rsidRPr="00161097">
              <w:t>str. 90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8.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Pr="00FA5BF8" w:rsidRDefault="00A02EF7" w:rsidP="00A02EF7">
      <w:pPr>
        <w:spacing w:after="0" w:line="240" w:lineRule="auto"/>
        <w:rPr>
          <w:sz w:val="20"/>
          <w:szCs w:val="20"/>
        </w:rPr>
      </w:pP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 w:rsidRPr="003C74BF">
        <w:rPr>
          <w:b/>
          <w:sz w:val="24"/>
          <w:szCs w:val="24"/>
        </w:rPr>
        <w:t>SVIBANJ</w:t>
      </w:r>
    </w:p>
    <w:p w:rsidR="00A02EF7" w:rsidRPr="00FA5BF8" w:rsidRDefault="00A02EF7" w:rsidP="00A02EF7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460"/>
        <w:gridCol w:w="1508"/>
        <w:gridCol w:w="2285"/>
        <w:gridCol w:w="2504"/>
        <w:gridCol w:w="959"/>
        <w:gridCol w:w="780"/>
        <w:gridCol w:w="785"/>
        <w:gridCol w:w="1018"/>
        <w:gridCol w:w="1748"/>
      </w:tblGrid>
      <w:tr w:rsidR="00A02EF7" w:rsidRPr="00161097" w:rsidTr="00DD1AE4">
        <w:trPr>
          <w:trHeight w:val="405"/>
        </w:trPr>
        <w:tc>
          <w:tcPr>
            <w:tcW w:w="31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>
              <w:t>svibanj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1</w:t>
            </w:r>
            <w:r>
              <w:t>8</w:t>
            </w:r>
            <w:r w:rsidRPr="00161097">
              <w:t xml:space="preserve"> sati</w:t>
            </w:r>
          </w:p>
        </w:tc>
        <w:tc>
          <w:tcPr>
            <w:tcW w:w="52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4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16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9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9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31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2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4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16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9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310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 w:rsidRPr="00161097">
              <w:t>133.</w:t>
            </w:r>
          </w:p>
          <w:p w:rsidR="00A02EF7" w:rsidRDefault="00A02EF7" w:rsidP="00DD1AE4">
            <w:pPr>
              <w:spacing w:after="0"/>
              <w:ind w:left="113" w:right="113"/>
              <w:jc w:val="center"/>
            </w:pPr>
            <w:r>
              <w:t>35.tjedan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( 22.5. – 26.5.2017)</w:t>
            </w:r>
          </w:p>
        </w:tc>
        <w:tc>
          <w:tcPr>
            <w:tcW w:w="526" w:type="pct"/>
          </w:tcPr>
          <w:p w:rsidR="00A02EF7" w:rsidRPr="00161097" w:rsidRDefault="00A02EF7" w:rsidP="00DD1AE4">
            <w:pPr>
              <w:spacing w:after="0"/>
            </w:pPr>
            <w:r w:rsidRPr="00161097">
              <w:t>Zbrajanje nje i oduzimanje brojeva do 20</w:t>
            </w: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543" w:type="pct"/>
          </w:tcPr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zbrajanje i oduzimanje brojeva do</w:t>
            </w:r>
          </w:p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20</w:t>
            </w:r>
          </w:p>
        </w:tc>
        <w:tc>
          <w:tcPr>
            <w:tcW w:w="816" w:type="pct"/>
          </w:tcPr>
          <w:p w:rsidR="00A02EF7" w:rsidRPr="00161097" w:rsidRDefault="00A02EF7" w:rsidP="00DD1AE4">
            <w:pPr>
              <w:autoSpaceDE w:val="0"/>
              <w:autoSpaceDN w:val="0"/>
              <w:adjustRightInd w:val="0"/>
              <w:spacing w:after="0"/>
            </w:pPr>
            <w:r w:rsidRPr="00161097">
              <w:t>ovladati postupkom zbrajanja i oduzimanja brojeva do 20</w:t>
            </w:r>
          </w:p>
        </w:tc>
        <w:tc>
          <w:tcPr>
            <w:tcW w:w="893" w:type="pct"/>
          </w:tcPr>
          <w:p w:rsidR="00A02EF7" w:rsidRPr="00161097" w:rsidRDefault="00A02EF7" w:rsidP="00DD1AE4">
            <w:pPr>
              <w:spacing w:after="0"/>
            </w:pPr>
            <w:r w:rsidRPr="00161097">
              <w:t>Zbrajanje i oduzimanje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 xml:space="preserve">(7 + 5, 15 – 10; </w:t>
            </w:r>
          </w:p>
          <w:p w:rsidR="00A02EF7" w:rsidRPr="00161097" w:rsidRDefault="00A02EF7" w:rsidP="00DD1AE4">
            <w:pPr>
              <w:spacing w:after="0"/>
            </w:pPr>
            <w:r w:rsidRPr="00161097">
              <w:t>12 – 5, 18 – 12)</w:t>
            </w:r>
          </w:p>
          <w:p w:rsidR="00A02EF7" w:rsidRDefault="00A02EF7" w:rsidP="00DD1AE4">
            <w:pPr>
              <w:spacing w:after="0"/>
            </w:pPr>
            <w:r w:rsidRPr="00161097">
              <w:t>- provjera</w:t>
            </w:r>
          </w:p>
          <w:p w:rsidR="00A02EF7" w:rsidRDefault="00A02EF7" w:rsidP="00DD1AE4">
            <w:pPr>
              <w:spacing w:after="0"/>
            </w:pPr>
          </w:p>
          <w:p w:rsidR="00A02EF7" w:rsidRDefault="00A02EF7" w:rsidP="00DD1AE4">
            <w:pPr>
              <w:spacing w:after="0"/>
            </w:pPr>
          </w:p>
          <w:p w:rsidR="00A02EF7" w:rsidRDefault="00A02EF7" w:rsidP="00DD1AE4">
            <w:pPr>
              <w:spacing w:after="0"/>
            </w:pPr>
          </w:p>
          <w:p w:rsidR="00A02EF7" w:rsidRPr="00161097" w:rsidRDefault="00A02EF7" w:rsidP="00DD1AE4">
            <w:pPr>
              <w:spacing w:after="0"/>
            </w:pPr>
          </w:p>
        </w:tc>
        <w:tc>
          <w:tcPr>
            <w:tcW w:w="350" w:type="pct"/>
          </w:tcPr>
          <w:p w:rsidR="00A02EF7" w:rsidRPr="00161097" w:rsidRDefault="00A02EF7" w:rsidP="00DD1AE4">
            <w:pPr>
              <w:spacing w:after="0"/>
            </w:pPr>
            <w:r w:rsidRPr="00161097">
              <w:t xml:space="preserve"> </w:t>
            </w:r>
          </w:p>
        </w:tc>
        <w:tc>
          <w:tcPr>
            <w:tcW w:w="287" w:type="pct"/>
          </w:tcPr>
          <w:p w:rsidR="00A02EF7" w:rsidRPr="00161097" w:rsidRDefault="00A02EF7" w:rsidP="00DD1AE4">
            <w:pPr>
              <w:spacing w:after="0"/>
            </w:pPr>
            <w:r w:rsidRPr="00161097">
              <w:t>str. 103</w:t>
            </w:r>
          </w:p>
        </w:tc>
        <w:tc>
          <w:tcPr>
            <w:tcW w:w="288" w:type="pct"/>
          </w:tcPr>
          <w:p w:rsidR="00A02EF7" w:rsidRPr="00161097" w:rsidRDefault="00A02EF7" w:rsidP="00DD1AE4">
            <w:pPr>
              <w:spacing w:after="0"/>
            </w:pPr>
          </w:p>
        </w:tc>
        <w:tc>
          <w:tcPr>
            <w:tcW w:w="370" w:type="pct"/>
          </w:tcPr>
          <w:p w:rsidR="00A02EF7" w:rsidRPr="00161097" w:rsidRDefault="00A02EF7" w:rsidP="00DD1AE4">
            <w:pPr>
              <w:spacing w:after="0"/>
            </w:pPr>
            <w:r w:rsidRPr="00161097">
              <w:t>9. ispitni zadatci</w:t>
            </w:r>
          </w:p>
        </w:tc>
        <w:tc>
          <w:tcPr>
            <w:tcW w:w="615" w:type="pct"/>
          </w:tcPr>
          <w:p w:rsidR="00A02EF7" w:rsidRPr="00161097" w:rsidRDefault="00A02EF7" w:rsidP="00DD1AE4">
            <w:pPr>
              <w:spacing w:after="0"/>
            </w:pPr>
          </w:p>
        </w:tc>
      </w:tr>
    </w:tbl>
    <w:p w:rsidR="00A02EF7" w:rsidRPr="00FA5BF8" w:rsidRDefault="00A02EF7" w:rsidP="00A02EF7">
      <w:pPr>
        <w:spacing w:after="0" w:line="240" w:lineRule="auto"/>
        <w:rPr>
          <w:b/>
          <w:sz w:val="20"/>
          <w:szCs w:val="20"/>
        </w:rPr>
      </w:pPr>
    </w:p>
    <w:p w:rsidR="00A02EF7" w:rsidRPr="003C74BF" w:rsidRDefault="00A02EF7" w:rsidP="00A02EF7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>
        <w:rPr>
          <w:b/>
          <w:sz w:val="24"/>
          <w:szCs w:val="24"/>
        </w:rPr>
        <w:lastRenderedPageBreak/>
        <w:t>LIPANJ</w:t>
      </w:r>
    </w:p>
    <w:p w:rsidR="00A02EF7" w:rsidRDefault="00A02EF7" w:rsidP="00A02EF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455"/>
        <w:gridCol w:w="1504"/>
        <w:gridCol w:w="2281"/>
        <w:gridCol w:w="2500"/>
        <w:gridCol w:w="955"/>
        <w:gridCol w:w="777"/>
        <w:gridCol w:w="783"/>
        <w:gridCol w:w="1044"/>
        <w:gridCol w:w="1748"/>
      </w:tblGrid>
      <w:tr w:rsidR="00A02EF7" w:rsidRPr="00161097" w:rsidTr="00DD1AE4">
        <w:trPr>
          <w:trHeight w:val="405"/>
        </w:trPr>
        <w:tc>
          <w:tcPr>
            <w:tcW w:w="412" w:type="pct"/>
            <w:vMerge w:val="restart"/>
          </w:tcPr>
          <w:p w:rsidR="00A02EF7" w:rsidRPr="00E13BC6" w:rsidRDefault="00A02EF7" w:rsidP="00DD1AE4">
            <w:pPr>
              <w:spacing w:after="0"/>
              <w:jc w:val="center"/>
            </w:pPr>
            <w:r w:rsidRPr="00E13BC6">
              <w:t>lipanj</w:t>
            </w:r>
          </w:p>
          <w:p w:rsidR="00A02EF7" w:rsidRPr="00161097" w:rsidRDefault="00A02EF7" w:rsidP="00DD1AE4">
            <w:pPr>
              <w:spacing w:after="0"/>
              <w:jc w:val="center"/>
            </w:pPr>
            <w:r>
              <w:t xml:space="preserve">7 </w:t>
            </w:r>
            <w:r w:rsidRPr="00161097">
              <w:t>sati</w:t>
            </w:r>
          </w:p>
        </w:tc>
        <w:tc>
          <w:tcPr>
            <w:tcW w:w="51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cjelina/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tema</w:t>
            </w:r>
          </w:p>
        </w:tc>
        <w:tc>
          <w:tcPr>
            <w:tcW w:w="53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Ključni pojmovi</w:t>
            </w:r>
          </w:p>
        </w:tc>
        <w:tc>
          <w:tcPr>
            <w:tcW w:w="803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Obrazovna postignuća/</w:t>
            </w:r>
          </w:p>
          <w:p w:rsidR="00A02EF7" w:rsidRPr="00161097" w:rsidRDefault="00A02EF7" w:rsidP="00DD1AE4">
            <w:pPr>
              <w:spacing w:after="0"/>
              <w:jc w:val="center"/>
            </w:pPr>
            <w:r w:rsidRPr="00161097">
              <w:t>Ishodi učenja</w:t>
            </w:r>
          </w:p>
        </w:tc>
        <w:tc>
          <w:tcPr>
            <w:tcW w:w="880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Nastavna jedinica</w:t>
            </w:r>
          </w:p>
        </w:tc>
        <w:tc>
          <w:tcPr>
            <w:tcW w:w="1245" w:type="pct"/>
            <w:gridSpan w:val="4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Izvori znanja / nastavni mediji</w:t>
            </w:r>
          </w:p>
        </w:tc>
        <w:tc>
          <w:tcPr>
            <w:tcW w:w="615" w:type="pct"/>
            <w:vMerge w:val="restart"/>
          </w:tcPr>
          <w:p w:rsidR="00A02EF7" w:rsidRPr="00161097" w:rsidRDefault="00A02EF7" w:rsidP="00DD1AE4">
            <w:pPr>
              <w:spacing w:after="0"/>
              <w:jc w:val="center"/>
            </w:pPr>
            <w:proofErr w:type="spellStart"/>
            <w:r w:rsidRPr="00161097">
              <w:t>Međupredmetna</w:t>
            </w:r>
            <w:proofErr w:type="spellEnd"/>
            <w:r w:rsidRPr="00161097">
              <w:t xml:space="preserve"> povezanost</w:t>
            </w:r>
          </w:p>
        </w:tc>
      </w:tr>
      <w:tr w:rsidR="00A02EF7" w:rsidRPr="00161097" w:rsidTr="00DD1AE4">
        <w:trPr>
          <w:trHeight w:val="405"/>
        </w:trPr>
        <w:tc>
          <w:tcPr>
            <w:tcW w:w="412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1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53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03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880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  <w:tc>
          <w:tcPr>
            <w:tcW w:w="337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UDŽB</w:t>
            </w:r>
          </w:p>
        </w:tc>
        <w:tc>
          <w:tcPr>
            <w:tcW w:w="274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RB</w:t>
            </w:r>
          </w:p>
        </w:tc>
        <w:tc>
          <w:tcPr>
            <w:tcW w:w="276" w:type="pct"/>
          </w:tcPr>
          <w:p w:rsidR="00A02EF7" w:rsidRPr="00161097" w:rsidRDefault="00A02EF7" w:rsidP="00DD1AE4">
            <w:pPr>
              <w:spacing w:after="0"/>
              <w:jc w:val="center"/>
            </w:pPr>
            <w:r w:rsidRPr="00161097">
              <w:t>VNS</w:t>
            </w:r>
          </w:p>
        </w:tc>
        <w:tc>
          <w:tcPr>
            <w:tcW w:w="358" w:type="pct"/>
          </w:tcPr>
          <w:p w:rsidR="00A02EF7" w:rsidRPr="00161097" w:rsidRDefault="00A02EF7" w:rsidP="00DD1AE4">
            <w:pPr>
              <w:spacing w:after="0"/>
              <w:jc w:val="center"/>
            </w:pPr>
            <w:smartTag w:uri="urn:schemas-microsoft-com:office:smarttags" w:element="stockticker">
              <w:r w:rsidRPr="00161097">
                <w:t>PNS</w:t>
              </w:r>
            </w:smartTag>
          </w:p>
        </w:tc>
        <w:tc>
          <w:tcPr>
            <w:tcW w:w="615" w:type="pct"/>
            <w:vMerge/>
          </w:tcPr>
          <w:p w:rsidR="00A02EF7" w:rsidRPr="00161097" w:rsidRDefault="00A02EF7" w:rsidP="00DD1AE4">
            <w:pPr>
              <w:spacing w:after="0"/>
              <w:jc w:val="center"/>
            </w:pPr>
          </w:p>
        </w:tc>
      </w:tr>
      <w:tr w:rsidR="00A02EF7" w:rsidRPr="00161097" w:rsidTr="00DD1AE4">
        <w:trPr>
          <w:cantSplit/>
          <w:trHeight w:val="1134"/>
        </w:trPr>
        <w:tc>
          <w:tcPr>
            <w:tcW w:w="412" w:type="pct"/>
            <w:textDirection w:val="btLr"/>
          </w:tcPr>
          <w:p w:rsidR="00A02EF7" w:rsidRDefault="00A02EF7" w:rsidP="00DD1AE4">
            <w:pPr>
              <w:spacing w:after="0"/>
              <w:ind w:left="113" w:right="113"/>
              <w:jc w:val="center"/>
            </w:pPr>
            <w:r>
              <w:t>140</w:t>
            </w:r>
            <w:r w:rsidRPr="00161097">
              <w:t>.</w:t>
            </w:r>
          </w:p>
          <w:p w:rsidR="00A02EF7" w:rsidRDefault="00A02EF7" w:rsidP="00DD1AE4">
            <w:pPr>
              <w:spacing w:after="0"/>
              <w:ind w:left="113" w:right="113"/>
              <w:jc w:val="center"/>
            </w:pPr>
            <w:r>
              <w:t>37 tjedan</w:t>
            </w:r>
          </w:p>
          <w:p w:rsidR="00A02EF7" w:rsidRPr="00161097" w:rsidRDefault="00A02EF7" w:rsidP="00DD1AE4">
            <w:pPr>
              <w:spacing w:after="0"/>
              <w:ind w:left="113" w:right="113"/>
              <w:jc w:val="center"/>
            </w:pPr>
            <w:r>
              <w:t>(5.6.. – 9.6.2017)</w:t>
            </w:r>
          </w:p>
        </w:tc>
        <w:tc>
          <w:tcPr>
            <w:tcW w:w="513" w:type="pct"/>
          </w:tcPr>
          <w:p w:rsidR="00A02EF7" w:rsidRPr="00BF5A30" w:rsidRDefault="00A02EF7" w:rsidP="00DD1AE4"/>
        </w:tc>
        <w:tc>
          <w:tcPr>
            <w:tcW w:w="530" w:type="pct"/>
          </w:tcPr>
          <w:p w:rsidR="00A02EF7" w:rsidRPr="006B015C" w:rsidRDefault="00A02EF7" w:rsidP="00DD1AE4">
            <w:r w:rsidRPr="006B015C">
              <w:t xml:space="preserve">ključni pojmovi svih nastavnih tema </w:t>
            </w:r>
            <w:r>
              <w:t xml:space="preserve">matematike </w:t>
            </w:r>
            <w:r w:rsidRPr="006B015C">
              <w:t>u 1. razredu</w:t>
            </w:r>
          </w:p>
        </w:tc>
        <w:tc>
          <w:tcPr>
            <w:tcW w:w="803" w:type="pct"/>
          </w:tcPr>
          <w:p w:rsidR="00A02EF7" w:rsidRPr="00BF5A30" w:rsidRDefault="00A02EF7" w:rsidP="00DD1AE4">
            <w:r w:rsidRPr="00BF5A30">
              <w:t xml:space="preserve">provjeriti stečena znanja </w:t>
            </w:r>
          </w:p>
        </w:tc>
        <w:tc>
          <w:tcPr>
            <w:tcW w:w="880" w:type="pct"/>
          </w:tcPr>
          <w:p w:rsidR="00A02EF7" w:rsidRDefault="00A02EF7" w:rsidP="00DD1AE4">
            <w:r>
              <w:t>Naučio/naučila sam u 1. razredu</w:t>
            </w:r>
          </w:p>
          <w:p w:rsidR="00A02EF7" w:rsidRPr="00BF5A30" w:rsidRDefault="00A02EF7" w:rsidP="00DD1AE4">
            <w:r>
              <w:t>- vrednovanje učeničkih postignuća</w:t>
            </w:r>
          </w:p>
        </w:tc>
        <w:tc>
          <w:tcPr>
            <w:tcW w:w="337" w:type="pct"/>
          </w:tcPr>
          <w:p w:rsidR="00A02EF7" w:rsidRPr="00BF5A30" w:rsidRDefault="00A02EF7" w:rsidP="00DD1AE4"/>
        </w:tc>
        <w:tc>
          <w:tcPr>
            <w:tcW w:w="274" w:type="pct"/>
          </w:tcPr>
          <w:p w:rsidR="00A02EF7" w:rsidRPr="00BF5A30" w:rsidRDefault="00A02EF7" w:rsidP="00DD1AE4"/>
        </w:tc>
        <w:tc>
          <w:tcPr>
            <w:tcW w:w="276" w:type="pct"/>
          </w:tcPr>
          <w:p w:rsidR="00A02EF7" w:rsidRPr="00BF5A30" w:rsidRDefault="00A02EF7" w:rsidP="00DD1AE4"/>
        </w:tc>
        <w:tc>
          <w:tcPr>
            <w:tcW w:w="358" w:type="pct"/>
          </w:tcPr>
          <w:p w:rsidR="00A02EF7" w:rsidRPr="00802F40" w:rsidRDefault="00A02EF7" w:rsidP="00DD1AE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Pr="00802F40">
              <w:rPr>
                <w:b/>
                <w:color w:val="FF0000"/>
                <w:sz w:val="20"/>
                <w:szCs w:val="20"/>
              </w:rPr>
              <w:t>Godišnja pisana provjera znanja</w:t>
            </w:r>
          </w:p>
          <w:p w:rsidR="00A02EF7" w:rsidRPr="00BF5A30" w:rsidRDefault="00A02EF7" w:rsidP="00DD1AE4">
            <w:r>
              <w:rPr>
                <w:sz w:val="20"/>
                <w:szCs w:val="20"/>
              </w:rPr>
              <w:t>(skupina A i B)</w:t>
            </w:r>
          </w:p>
        </w:tc>
        <w:tc>
          <w:tcPr>
            <w:tcW w:w="615" w:type="pct"/>
          </w:tcPr>
          <w:p w:rsidR="00A02EF7" w:rsidRPr="00BF5A30" w:rsidRDefault="00A02EF7" w:rsidP="00DD1AE4"/>
          <w:p w:rsidR="00A02EF7" w:rsidRPr="00BF5A30" w:rsidRDefault="00A02EF7" w:rsidP="00DD1AE4"/>
        </w:tc>
      </w:tr>
    </w:tbl>
    <w:p w:rsidR="00A02EF7" w:rsidRPr="00A14111" w:rsidRDefault="00A02EF7" w:rsidP="00A02EF7">
      <w:pPr>
        <w:spacing w:after="0"/>
        <w:rPr>
          <w:i/>
          <w:sz w:val="20"/>
          <w:szCs w:val="20"/>
        </w:rPr>
      </w:pPr>
      <w:r w:rsidRPr="00DE32BF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prijedlog pisanja pisane provjere znanja umjesto nastavnog sata </w:t>
      </w:r>
      <w:r w:rsidRPr="00A14111">
        <w:rPr>
          <w:i/>
          <w:sz w:val="20"/>
          <w:szCs w:val="20"/>
        </w:rPr>
        <w:t>Zadaci riječima, Zbrajanje i oduzimanje brojeva do 20 - vježbanje i ponavljanje</w:t>
      </w:r>
    </w:p>
    <w:p w:rsidR="00A02EF7" w:rsidRDefault="00A02EF7" w:rsidP="00A02EF7">
      <w:pPr>
        <w:rPr>
          <w:sz w:val="20"/>
          <w:szCs w:val="20"/>
        </w:rPr>
      </w:pPr>
    </w:p>
    <w:p w:rsidR="0036551F" w:rsidRDefault="0036551F"/>
    <w:sectPr w:rsidR="0036551F" w:rsidSect="00A02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EF7"/>
    <w:rsid w:val="00121AB2"/>
    <w:rsid w:val="00184A71"/>
    <w:rsid w:val="00203FC8"/>
    <w:rsid w:val="00211A47"/>
    <w:rsid w:val="00271433"/>
    <w:rsid w:val="00335A77"/>
    <w:rsid w:val="00342242"/>
    <w:rsid w:val="0036551F"/>
    <w:rsid w:val="006335DD"/>
    <w:rsid w:val="00634198"/>
    <w:rsid w:val="006A4634"/>
    <w:rsid w:val="008628D4"/>
    <w:rsid w:val="00965C56"/>
    <w:rsid w:val="00A02EF7"/>
    <w:rsid w:val="00AA3381"/>
    <w:rsid w:val="00AC1731"/>
    <w:rsid w:val="00AF2155"/>
    <w:rsid w:val="00BB7670"/>
    <w:rsid w:val="00D020F1"/>
    <w:rsid w:val="00DB7047"/>
    <w:rsid w:val="00F8195A"/>
    <w:rsid w:val="00F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17</cp:revision>
  <dcterms:created xsi:type="dcterms:W3CDTF">2017-09-05T15:56:00Z</dcterms:created>
  <dcterms:modified xsi:type="dcterms:W3CDTF">2017-09-22T05:01:00Z</dcterms:modified>
</cp:coreProperties>
</file>